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19F9" w:rsidRPr="00D019F9" w:rsidRDefault="00D019F9" w:rsidP="00D019F9">
      <w:pPr>
        <w:spacing w:after="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FIL – Fonds d’Initiatives </w:t>
      </w:r>
      <w:r w:rsidRPr="00D019F9">
        <w:rPr>
          <w:b/>
          <w:bCs/>
          <w:sz w:val="28"/>
          <w:szCs w:val="28"/>
        </w:rPr>
        <w:t>Locales</w:t>
      </w:r>
    </w:p>
    <w:p w:rsidR="00D019F9" w:rsidRPr="00D019F9" w:rsidRDefault="00D019F9" w:rsidP="00D019F9">
      <w:pPr>
        <w:spacing w:after="0"/>
        <w:jc w:val="center"/>
        <w:rPr>
          <w:b/>
          <w:bCs/>
          <w:sz w:val="28"/>
          <w:szCs w:val="28"/>
        </w:rPr>
      </w:pPr>
      <w:r w:rsidRPr="00D019F9">
        <w:rPr>
          <w:b/>
          <w:bCs/>
          <w:sz w:val="28"/>
          <w:szCs w:val="28"/>
        </w:rPr>
        <w:t>Règlement relatif au porteur de projet</w:t>
      </w:r>
    </w:p>
    <w:p w:rsidR="00D019F9" w:rsidRPr="00D019F9" w:rsidRDefault="00D019F9" w:rsidP="00D019F9">
      <w:pPr>
        <w:jc w:val="both"/>
        <w:rPr>
          <w:b/>
          <w:sz w:val="24"/>
          <w:szCs w:val="24"/>
        </w:rPr>
      </w:pPr>
    </w:p>
    <w:p w:rsidR="00D019F9" w:rsidRPr="00D019F9" w:rsidRDefault="00D019F9" w:rsidP="00D019F9">
      <w:pPr>
        <w:numPr>
          <w:ilvl w:val="0"/>
          <w:numId w:val="3"/>
        </w:numPr>
        <w:jc w:val="both"/>
        <w:rPr>
          <w:b/>
          <w:sz w:val="28"/>
          <w:szCs w:val="28"/>
        </w:rPr>
      </w:pPr>
      <w:r w:rsidRPr="00D019F9">
        <w:rPr>
          <w:b/>
          <w:sz w:val="28"/>
          <w:szCs w:val="28"/>
        </w:rPr>
        <w:t>Objet du fonds d’Initiatives Locales</w:t>
      </w:r>
    </w:p>
    <w:p w:rsidR="00385505" w:rsidRPr="00D019F9" w:rsidRDefault="00D019F9" w:rsidP="00D548BC">
      <w:pPr>
        <w:pStyle w:val="Paragraphedeliste"/>
        <w:numPr>
          <w:ilvl w:val="0"/>
          <w:numId w:val="2"/>
        </w:numPr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 xml:space="preserve">Le Fonds d’Initiatives Locales (FIL) est destiné à financer des petits projets issus d’un habitant ou groupe d’habitants. Ses objectifs sont de favoriser les prises d’initiatives de groupes d’habitants, promouvoir les capacités individuelles et collectives à s’organiser, monter des projets, renforcer les échanges entre habitants, être capables de répondre en temps réel à des micro- initiatives qui sont essentielles pour le développement social du </w:t>
      </w:r>
      <w:r w:rsidRPr="00D019F9">
        <w:rPr>
          <w:sz w:val="24"/>
          <w:szCs w:val="24"/>
          <w:u w:val="single"/>
        </w:rPr>
        <w:t>quartier et la qualité de la vie</w:t>
      </w:r>
      <w:r w:rsidRPr="00D019F9">
        <w:rPr>
          <w:sz w:val="24"/>
          <w:szCs w:val="24"/>
        </w:rPr>
        <w:t xml:space="preserve"> </w:t>
      </w:r>
      <w:r w:rsidRPr="00D019F9">
        <w:rPr>
          <w:sz w:val="24"/>
          <w:szCs w:val="24"/>
          <w:u w:val="single"/>
        </w:rPr>
        <w:t>sociale</w:t>
      </w:r>
      <w:r w:rsidRPr="00D019F9">
        <w:rPr>
          <w:sz w:val="24"/>
          <w:szCs w:val="24"/>
        </w:rPr>
        <w:t>.</w:t>
      </w:r>
    </w:p>
    <w:p w:rsidR="00D019F9" w:rsidRPr="00D019F9" w:rsidRDefault="00D019F9" w:rsidP="00D548BC">
      <w:pPr>
        <w:numPr>
          <w:ilvl w:val="0"/>
          <w:numId w:val="2"/>
        </w:numPr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Le budget du FIL est divisé en enveloppe par quartier selon les modalités spécifiées sur la fiche</w:t>
      </w:r>
      <w:r>
        <w:rPr>
          <w:sz w:val="24"/>
          <w:szCs w:val="24"/>
        </w:rPr>
        <w:t xml:space="preserve"> </w:t>
      </w:r>
      <w:r w:rsidRPr="00D019F9">
        <w:rPr>
          <w:sz w:val="24"/>
          <w:szCs w:val="24"/>
        </w:rPr>
        <w:t>annexe. Le budget consacré aux sorties à la mer ne devra pas excéder 7000 euros pour l’ensemble des quartiers.</w:t>
      </w:r>
    </w:p>
    <w:p w:rsidR="00D019F9" w:rsidRPr="00D019F9" w:rsidRDefault="00D019F9" w:rsidP="00D548BC">
      <w:pPr>
        <w:numPr>
          <w:ilvl w:val="0"/>
          <w:numId w:val="2"/>
        </w:numPr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 xml:space="preserve">Toutes ces actions devront bénéficier </w:t>
      </w:r>
      <w:r w:rsidRPr="00D019F9">
        <w:rPr>
          <w:sz w:val="24"/>
          <w:szCs w:val="24"/>
          <w:u w:val="single"/>
        </w:rPr>
        <w:t>à tous les habitants grâce à une communication adaptée</w:t>
      </w:r>
      <w:r w:rsidRPr="00D019F9">
        <w:rPr>
          <w:sz w:val="24"/>
          <w:szCs w:val="24"/>
        </w:rPr>
        <w:t>.</w:t>
      </w:r>
    </w:p>
    <w:p w:rsidR="00D019F9" w:rsidRPr="00D019F9" w:rsidRDefault="00D019F9" w:rsidP="00D548BC">
      <w:pPr>
        <w:numPr>
          <w:ilvl w:val="0"/>
          <w:numId w:val="2"/>
        </w:numPr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Dans un souci d’équité et d’impartialité, tout membre du comité de gestion impliqué à quelque titre que ce soit dans un projet (participant ou porteur du projet) devra se retirer au moment de son examen ; faute de quoi, la décision de financement pourrait être invalidée.</w:t>
      </w:r>
    </w:p>
    <w:p w:rsidR="00D019F9" w:rsidRPr="00D019F9" w:rsidRDefault="00D019F9" w:rsidP="00D548BC">
      <w:pPr>
        <w:numPr>
          <w:ilvl w:val="0"/>
          <w:numId w:val="2"/>
        </w:numPr>
        <w:spacing w:after="0"/>
        <w:ind w:left="567"/>
        <w:jc w:val="both"/>
        <w:rPr>
          <w:b/>
          <w:bCs/>
          <w:sz w:val="24"/>
          <w:szCs w:val="24"/>
        </w:rPr>
      </w:pPr>
      <w:r w:rsidRPr="00D019F9">
        <w:rPr>
          <w:b/>
          <w:bCs/>
          <w:sz w:val="24"/>
          <w:szCs w:val="24"/>
        </w:rPr>
        <w:t>Le délégué du Préfet, assiste au comité de gestion.</w:t>
      </w:r>
    </w:p>
    <w:p w:rsidR="00D019F9" w:rsidRPr="00D019F9" w:rsidRDefault="00D019F9" w:rsidP="00D548BC">
      <w:pPr>
        <w:numPr>
          <w:ilvl w:val="0"/>
          <w:numId w:val="2"/>
        </w:numPr>
        <w:spacing w:after="0"/>
        <w:ind w:left="567"/>
        <w:jc w:val="both"/>
        <w:rPr>
          <w:b/>
          <w:sz w:val="24"/>
          <w:szCs w:val="24"/>
        </w:rPr>
      </w:pPr>
      <w:r w:rsidRPr="00D019F9">
        <w:rPr>
          <w:sz w:val="24"/>
          <w:szCs w:val="24"/>
          <w:u w:val="single"/>
        </w:rPr>
        <w:t>Tout porteur de projet n’ayant pas fourni son bilan d’action dans un délai d’un mois se verra</w:t>
      </w:r>
      <w:r w:rsidRPr="00D019F9">
        <w:rPr>
          <w:sz w:val="24"/>
          <w:szCs w:val="24"/>
        </w:rPr>
        <w:t xml:space="preserve"> </w:t>
      </w:r>
      <w:r w:rsidRPr="00D019F9">
        <w:rPr>
          <w:sz w:val="24"/>
          <w:szCs w:val="24"/>
          <w:u w:val="single"/>
        </w:rPr>
        <w:t>refuser systématiquement le versement de l’aide ainsi que toute nouvelle demande dans</w:t>
      </w:r>
      <w:r w:rsidRPr="00D019F9">
        <w:rPr>
          <w:sz w:val="24"/>
          <w:szCs w:val="24"/>
        </w:rPr>
        <w:t xml:space="preserve"> </w:t>
      </w:r>
      <w:r w:rsidRPr="00D019F9">
        <w:rPr>
          <w:sz w:val="24"/>
          <w:szCs w:val="24"/>
          <w:u w:val="single"/>
        </w:rPr>
        <w:t>l’année en cours</w:t>
      </w:r>
      <w:r w:rsidRPr="00D019F9">
        <w:rPr>
          <w:b/>
          <w:sz w:val="24"/>
          <w:szCs w:val="24"/>
          <w:u w:val="single"/>
        </w:rPr>
        <w:t>.</w:t>
      </w:r>
    </w:p>
    <w:p w:rsidR="00D019F9" w:rsidRPr="00D019F9" w:rsidRDefault="00D019F9" w:rsidP="00D019F9">
      <w:pPr>
        <w:spacing w:after="0"/>
        <w:jc w:val="both"/>
        <w:rPr>
          <w:b/>
          <w:sz w:val="24"/>
          <w:szCs w:val="24"/>
        </w:rPr>
      </w:pPr>
    </w:p>
    <w:p w:rsidR="00D019F9" w:rsidRPr="00D019F9" w:rsidRDefault="00D019F9" w:rsidP="00D019F9">
      <w:pPr>
        <w:numPr>
          <w:ilvl w:val="0"/>
          <w:numId w:val="3"/>
        </w:numPr>
        <w:spacing w:after="0"/>
        <w:jc w:val="both"/>
        <w:rPr>
          <w:b/>
          <w:bCs/>
          <w:sz w:val="28"/>
          <w:szCs w:val="28"/>
        </w:rPr>
      </w:pPr>
      <w:r w:rsidRPr="00D019F9">
        <w:rPr>
          <w:b/>
          <w:bCs/>
          <w:sz w:val="28"/>
          <w:szCs w:val="28"/>
        </w:rPr>
        <w:t>Modalités de financements des projets</w:t>
      </w:r>
    </w:p>
    <w:p w:rsidR="00D019F9" w:rsidRPr="00D019F9" w:rsidRDefault="00D019F9" w:rsidP="00D019F9">
      <w:pPr>
        <w:spacing w:after="0"/>
        <w:jc w:val="both"/>
        <w:rPr>
          <w:b/>
          <w:sz w:val="24"/>
          <w:szCs w:val="24"/>
        </w:rPr>
      </w:pPr>
    </w:p>
    <w:p w:rsidR="00D019F9" w:rsidRPr="00D019F9" w:rsidRDefault="00D019F9" w:rsidP="00D019F9">
      <w:pPr>
        <w:jc w:val="both"/>
        <w:rPr>
          <w:b/>
          <w:bCs/>
          <w:sz w:val="24"/>
          <w:szCs w:val="24"/>
        </w:rPr>
      </w:pPr>
      <w:r w:rsidRPr="00D019F9">
        <w:rPr>
          <w:b/>
          <w:bCs/>
          <w:sz w:val="24"/>
          <w:szCs w:val="24"/>
        </w:rPr>
        <w:t>Critères de recevabilité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993"/>
        </w:tabs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Chaque projet ne pourra donner lieu qu’à un seul financement Contrat Urbain de Cohésion Social soit Fonds d’Initiatives Locales, soit crédit CUCS ou VVV (Ville Vie Vacances).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993"/>
        </w:tabs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La participation des usagers est la règle elle sera fixée par le porteur de projet .Elle sera</w:t>
      </w:r>
      <w:r>
        <w:rPr>
          <w:sz w:val="24"/>
          <w:szCs w:val="24"/>
        </w:rPr>
        <w:t xml:space="preserve"> </w:t>
      </w:r>
      <w:r w:rsidRPr="00D019F9">
        <w:rPr>
          <w:sz w:val="24"/>
          <w:szCs w:val="24"/>
        </w:rPr>
        <w:t>comprise entre 0,50 euros et 25 euros. La gratuité pourra être envisagée pour les manifestations dans l’espace public.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993"/>
        </w:tabs>
        <w:spacing w:after="0"/>
        <w:ind w:left="567"/>
        <w:jc w:val="both"/>
        <w:rPr>
          <w:b/>
          <w:sz w:val="24"/>
          <w:szCs w:val="24"/>
        </w:rPr>
      </w:pPr>
      <w:r w:rsidRPr="00D019F9">
        <w:rPr>
          <w:sz w:val="24"/>
          <w:szCs w:val="24"/>
        </w:rPr>
        <w:t xml:space="preserve">Cas particulier des sorties à la mer : une participation des habitants sera exigée </w:t>
      </w:r>
      <w:r w:rsidRPr="00D019F9">
        <w:rPr>
          <w:b/>
          <w:sz w:val="24"/>
          <w:szCs w:val="24"/>
        </w:rPr>
        <w:t>y compris pour</w:t>
      </w:r>
      <w:r>
        <w:rPr>
          <w:b/>
          <w:sz w:val="24"/>
          <w:szCs w:val="24"/>
        </w:rPr>
        <w:t xml:space="preserve"> </w:t>
      </w:r>
      <w:r w:rsidRPr="00D019F9">
        <w:rPr>
          <w:b/>
          <w:sz w:val="24"/>
          <w:szCs w:val="24"/>
        </w:rPr>
        <w:t>les jeunes enfants occupant une place dans les cars</w:t>
      </w:r>
      <w:r w:rsidRPr="00D019F9">
        <w:rPr>
          <w:sz w:val="24"/>
          <w:szCs w:val="24"/>
        </w:rPr>
        <w:t>. Pour les sorties en car, une exonération sera accordée pour les accompagnateurs dans la limite d’un accompagnateur par car.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993"/>
        </w:tabs>
        <w:spacing w:after="0"/>
        <w:ind w:left="567"/>
        <w:jc w:val="both"/>
        <w:rPr>
          <w:b/>
          <w:bCs/>
          <w:sz w:val="24"/>
          <w:szCs w:val="24"/>
        </w:rPr>
      </w:pPr>
      <w:r w:rsidRPr="00D019F9">
        <w:rPr>
          <w:b/>
          <w:bCs/>
          <w:sz w:val="24"/>
          <w:szCs w:val="24"/>
        </w:rPr>
        <w:t>Les frais de restaurants et l’achat de boissons alcoolisées ne seront pas pris en compte ainsi</w:t>
      </w:r>
      <w:r>
        <w:rPr>
          <w:b/>
          <w:bCs/>
          <w:sz w:val="24"/>
          <w:szCs w:val="24"/>
        </w:rPr>
        <w:t xml:space="preserve"> </w:t>
      </w:r>
      <w:r w:rsidRPr="00D019F9">
        <w:rPr>
          <w:b/>
          <w:sz w:val="24"/>
          <w:szCs w:val="24"/>
        </w:rPr>
        <w:t>que les projets portant sur des manifestations politiques ou religieuses.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993"/>
        </w:tabs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Les projets ne pourront porter sur des actions déjà réalisées.</w:t>
      </w:r>
    </w:p>
    <w:p w:rsidR="00D019F9" w:rsidRPr="00D019F9" w:rsidRDefault="00D019F9" w:rsidP="00D019F9">
      <w:pPr>
        <w:spacing w:after="0"/>
        <w:jc w:val="both"/>
        <w:rPr>
          <w:sz w:val="24"/>
          <w:szCs w:val="24"/>
        </w:rPr>
      </w:pPr>
    </w:p>
    <w:p w:rsidR="00D019F9" w:rsidRPr="00D019F9" w:rsidRDefault="00D019F9" w:rsidP="00D019F9">
      <w:pPr>
        <w:jc w:val="both"/>
        <w:rPr>
          <w:b/>
          <w:bCs/>
          <w:sz w:val="24"/>
          <w:szCs w:val="24"/>
        </w:rPr>
      </w:pPr>
      <w:r w:rsidRPr="00D019F9">
        <w:rPr>
          <w:b/>
          <w:bCs/>
          <w:sz w:val="24"/>
          <w:szCs w:val="24"/>
        </w:rPr>
        <w:t>Procédure de demande et modalités de dépôt du dossier</w:t>
      </w:r>
    </w:p>
    <w:p w:rsidR="00D019F9" w:rsidRPr="00D019F9" w:rsidRDefault="00D019F9" w:rsidP="00D548BC">
      <w:pPr>
        <w:numPr>
          <w:ilvl w:val="0"/>
          <w:numId w:val="2"/>
        </w:numPr>
        <w:spacing w:after="0"/>
        <w:ind w:left="567" w:hanging="346"/>
        <w:jc w:val="both"/>
        <w:rPr>
          <w:b/>
          <w:sz w:val="24"/>
          <w:szCs w:val="24"/>
        </w:rPr>
      </w:pPr>
      <w:r w:rsidRPr="00D019F9">
        <w:rPr>
          <w:sz w:val="24"/>
          <w:szCs w:val="24"/>
        </w:rPr>
        <w:t xml:space="preserve">Le demandeur devra déposer une fiche projet (modèle annexé) ainsi que </w:t>
      </w:r>
      <w:r w:rsidRPr="00D019F9">
        <w:rPr>
          <w:sz w:val="24"/>
          <w:szCs w:val="24"/>
          <w:u w:val="single"/>
        </w:rPr>
        <w:t>les devis (ils peuvent</w:t>
      </w:r>
      <w:r w:rsidRPr="00D019F9">
        <w:rPr>
          <w:sz w:val="24"/>
          <w:szCs w:val="24"/>
        </w:rPr>
        <w:t xml:space="preserve"> </w:t>
      </w:r>
      <w:r w:rsidRPr="00D019F9">
        <w:rPr>
          <w:sz w:val="24"/>
          <w:szCs w:val="24"/>
          <w:u w:val="single"/>
        </w:rPr>
        <w:t>émaner de tous les commerces)</w:t>
      </w:r>
      <w:r w:rsidRPr="00D019F9">
        <w:rPr>
          <w:sz w:val="24"/>
          <w:szCs w:val="24"/>
        </w:rPr>
        <w:t xml:space="preserve"> auprès du service Démocratie Locale et Politique de la Ville </w:t>
      </w:r>
      <w:r w:rsidRPr="00D019F9">
        <w:rPr>
          <w:sz w:val="24"/>
          <w:szCs w:val="24"/>
          <w:u w:val="single"/>
        </w:rPr>
        <w:t>au</w:t>
      </w:r>
      <w:r w:rsidRPr="00D019F9">
        <w:rPr>
          <w:sz w:val="24"/>
          <w:szCs w:val="24"/>
        </w:rPr>
        <w:t xml:space="preserve"> </w:t>
      </w:r>
      <w:r w:rsidRPr="00D019F9">
        <w:rPr>
          <w:sz w:val="24"/>
          <w:szCs w:val="24"/>
          <w:u w:val="single"/>
        </w:rPr>
        <w:lastRenderedPageBreak/>
        <w:t xml:space="preserve">plus tard </w:t>
      </w:r>
      <w:r w:rsidRPr="00D019F9">
        <w:rPr>
          <w:b/>
          <w:sz w:val="24"/>
          <w:szCs w:val="24"/>
          <w:u w:val="single"/>
        </w:rPr>
        <w:t>11 jours</w:t>
      </w:r>
      <w:r w:rsidRPr="00D019F9">
        <w:rPr>
          <w:b/>
          <w:sz w:val="24"/>
          <w:szCs w:val="24"/>
        </w:rPr>
        <w:t xml:space="preserve"> </w:t>
      </w:r>
      <w:r w:rsidRPr="00D019F9">
        <w:rPr>
          <w:sz w:val="24"/>
          <w:szCs w:val="24"/>
        </w:rPr>
        <w:t xml:space="preserve">ouvrés avant la date de réunion du comité, </w:t>
      </w:r>
      <w:r w:rsidRPr="00D019F9">
        <w:rPr>
          <w:b/>
          <w:sz w:val="24"/>
          <w:szCs w:val="24"/>
        </w:rPr>
        <w:t>tout dossier reçu hors délai ne sera pas traité. Les organisateurs de sorties à la mer sont priés d’anticiper celles-ci.</w:t>
      </w:r>
    </w:p>
    <w:p w:rsidR="00D019F9" w:rsidRPr="00D019F9" w:rsidRDefault="00D019F9" w:rsidP="00D548BC">
      <w:pPr>
        <w:numPr>
          <w:ilvl w:val="0"/>
          <w:numId w:val="2"/>
        </w:numPr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Les projets devront être déposés suffisamment en amont de l’événement afin de pouvoir rectifier le dossier en cas de refus du comité de gestion.</w:t>
      </w:r>
    </w:p>
    <w:p w:rsidR="00D019F9" w:rsidRPr="00D019F9" w:rsidRDefault="00D019F9" w:rsidP="00D019F9">
      <w:pPr>
        <w:spacing w:after="0"/>
        <w:jc w:val="both"/>
        <w:rPr>
          <w:sz w:val="24"/>
          <w:szCs w:val="24"/>
        </w:rPr>
      </w:pPr>
    </w:p>
    <w:p w:rsidR="00D019F9" w:rsidRPr="00D019F9" w:rsidRDefault="00D019F9" w:rsidP="00D019F9">
      <w:pPr>
        <w:jc w:val="both"/>
        <w:rPr>
          <w:b/>
          <w:bCs/>
          <w:sz w:val="24"/>
          <w:szCs w:val="24"/>
        </w:rPr>
      </w:pPr>
      <w:r w:rsidRPr="00D019F9">
        <w:rPr>
          <w:b/>
          <w:bCs/>
          <w:sz w:val="24"/>
          <w:szCs w:val="24"/>
        </w:rPr>
        <w:t>Modalités de versement du financement</w:t>
      </w:r>
    </w:p>
    <w:p w:rsidR="00D019F9" w:rsidRPr="00D019F9" w:rsidRDefault="00D019F9" w:rsidP="00D548BC">
      <w:pPr>
        <w:numPr>
          <w:ilvl w:val="0"/>
          <w:numId w:val="1"/>
        </w:numPr>
        <w:tabs>
          <w:tab w:val="left" w:pos="567"/>
        </w:tabs>
        <w:spacing w:after="0"/>
        <w:ind w:left="567" w:hanging="346"/>
        <w:jc w:val="both"/>
        <w:rPr>
          <w:sz w:val="24"/>
          <w:szCs w:val="24"/>
        </w:rPr>
      </w:pPr>
      <w:r w:rsidRPr="00D019F9">
        <w:rPr>
          <w:sz w:val="24"/>
          <w:szCs w:val="24"/>
        </w:rPr>
        <w:t xml:space="preserve">Le montant maximum de l’aide accordée est fixé à </w:t>
      </w:r>
      <w:r w:rsidRPr="00D019F9">
        <w:rPr>
          <w:sz w:val="24"/>
          <w:szCs w:val="24"/>
          <w:u w:val="single"/>
        </w:rPr>
        <w:t>760 euros par projet. Elle est limitée à 1000</w:t>
      </w:r>
      <w:r w:rsidRPr="00D019F9">
        <w:rPr>
          <w:sz w:val="24"/>
          <w:szCs w:val="24"/>
        </w:rPr>
        <w:t xml:space="preserve"> </w:t>
      </w:r>
      <w:r w:rsidRPr="00D019F9">
        <w:rPr>
          <w:sz w:val="24"/>
          <w:szCs w:val="24"/>
          <w:u w:val="single"/>
        </w:rPr>
        <w:t>euros par porteur et par an.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567"/>
        </w:tabs>
        <w:spacing w:after="0"/>
        <w:ind w:left="567" w:hanging="346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Les porteurs de projets ne peuvent pas présenter des devis établis par eux-mêmes. Aucun</w:t>
      </w:r>
      <w:r>
        <w:rPr>
          <w:sz w:val="24"/>
          <w:szCs w:val="24"/>
        </w:rPr>
        <w:t xml:space="preserve"> </w:t>
      </w:r>
      <w:r w:rsidRPr="00D019F9">
        <w:rPr>
          <w:sz w:val="24"/>
          <w:szCs w:val="24"/>
        </w:rPr>
        <w:t>dépassement de coût ne pourra être pris en compte par le FIL.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Des avances pourront être consenties aux porteurs et aux fournisseurs en cas de nécessité absolue (devis précisant le montant de l’acompte).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 xml:space="preserve">Si l’action en définitive n’est pas réalisée et qu’un acompte a été versé au porteur de projet, </w:t>
      </w:r>
      <w:r>
        <w:rPr>
          <w:sz w:val="24"/>
          <w:szCs w:val="24"/>
        </w:rPr>
        <w:t>celui-</w:t>
      </w:r>
      <w:r w:rsidRPr="00D019F9">
        <w:rPr>
          <w:sz w:val="24"/>
          <w:szCs w:val="24"/>
        </w:rPr>
        <w:t>ci devra rembourser les avances consenties. Tout porteur qui n’aura pas remboursé la dette ne sera pas autorisé à présenter de nouveaux projets.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Les porteurs de projets pourront être invités à assister au comité de gestion pour répondre aux éventuelles interrogations relatives au dossier.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L’aide du FIL devra être mentionnée dans la communication de l’événement</w:t>
      </w:r>
    </w:p>
    <w:p w:rsidR="00D019F9" w:rsidRPr="00D019F9" w:rsidRDefault="00D019F9" w:rsidP="00D019F9">
      <w:pPr>
        <w:spacing w:after="0"/>
        <w:jc w:val="both"/>
        <w:rPr>
          <w:sz w:val="24"/>
          <w:szCs w:val="24"/>
        </w:rPr>
      </w:pPr>
    </w:p>
    <w:p w:rsidR="00D019F9" w:rsidRPr="00D019F9" w:rsidRDefault="00D019F9" w:rsidP="00D019F9">
      <w:pPr>
        <w:numPr>
          <w:ilvl w:val="0"/>
          <w:numId w:val="3"/>
        </w:numPr>
        <w:spacing w:after="0"/>
        <w:jc w:val="both"/>
        <w:rPr>
          <w:b/>
          <w:bCs/>
          <w:sz w:val="28"/>
          <w:szCs w:val="28"/>
        </w:rPr>
      </w:pPr>
      <w:r w:rsidRPr="00D019F9">
        <w:rPr>
          <w:b/>
          <w:bCs/>
          <w:sz w:val="28"/>
          <w:szCs w:val="28"/>
        </w:rPr>
        <w:t>Modalités de contrôle</w:t>
      </w:r>
      <w:bookmarkStart w:id="0" w:name="_GoBack"/>
      <w:bookmarkEnd w:id="0"/>
    </w:p>
    <w:p w:rsidR="00D019F9" w:rsidRPr="00D019F9" w:rsidRDefault="00D019F9" w:rsidP="00D019F9">
      <w:pPr>
        <w:spacing w:after="0"/>
        <w:jc w:val="both"/>
        <w:rPr>
          <w:b/>
          <w:sz w:val="24"/>
          <w:szCs w:val="24"/>
        </w:rPr>
      </w:pPr>
    </w:p>
    <w:p w:rsidR="00D019F9" w:rsidRPr="00D019F9" w:rsidRDefault="00D019F9" w:rsidP="00D548BC">
      <w:pPr>
        <w:numPr>
          <w:ilvl w:val="0"/>
          <w:numId w:val="2"/>
        </w:numPr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Le bénéficiaire de l’action devra présenter au service Démocratie Locale et Politique de la Ville un bilan simplifié de l’action (selon dossier joint)</w:t>
      </w:r>
      <w:r w:rsidRPr="00D019F9">
        <w:rPr>
          <w:b/>
          <w:sz w:val="24"/>
          <w:szCs w:val="24"/>
        </w:rPr>
        <w:t xml:space="preserve"> </w:t>
      </w:r>
      <w:r w:rsidRPr="00D019F9">
        <w:rPr>
          <w:b/>
          <w:sz w:val="24"/>
          <w:szCs w:val="24"/>
          <w:u w:val="single"/>
        </w:rPr>
        <w:t>qui précisera le nombre de personnes touchées</w:t>
      </w:r>
      <w:r w:rsidRPr="00D019F9">
        <w:rPr>
          <w:b/>
          <w:sz w:val="24"/>
          <w:szCs w:val="24"/>
        </w:rPr>
        <w:t xml:space="preserve"> </w:t>
      </w:r>
      <w:r w:rsidRPr="00D019F9">
        <w:rPr>
          <w:sz w:val="24"/>
          <w:szCs w:val="24"/>
        </w:rPr>
        <w:t xml:space="preserve">ainsi que les factures </w:t>
      </w:r>
      <w:r w:rsidRPr="00D019F9">
        <w:rPr>
          <w:sz w:val="24"/>
          <w:szCs w:val="24"/>
          <w:u w:val="single"/>
        </w:rPr>
        <w:t>détaillées</w:t>
      </w:r>
      <w:r w:rsidRPr="00D019F9">
        <w:rPr>
          <w:sz w:val="24"/>
          <w:szCs w:val="24"/>
        </w:rPr>
        <w:t xml:space="preserve"> en vue de leur règlement. Il devra fournir pour les sorties la liste des participants en précisant l’âge, le sexe et l’adresse.</w:t>
      </w:r>
    </w:p>
    <w:p w:rsidR="00D019F9" w:rsidRPr="00D019F9" w:rsidRDefault="00D019F9" w:rsidP="00D548BC">
      <w:pPr>
        <w:numPr>
          <w:ilvl w:val="0"/>
          <w:numId w:val="2"/>
        </w:numPr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D019F9">
        <w:rPr>
          <w:sz w:val="24"/>
          <w:szCs w:val="24"/>
        </w:rPr>
        <w:t>Les factures libellées au nom de «Auberquartiers Fonds d’Initiatives Locales» déposées au</w:t>
      </w:r>
      <w:r>
        <w:rPr>
          <w:sz w:val="24"/>
          <w:szCs w:val="24"/>
        </w:rPr>
        <w:t xml:space="preserve"> </w:t>
      </w:r>
      <w:r w:rsidRPr="00D019F9">
        <w:rPr>
          <w:sz w:val="24"/>
          <w:szCs w:val="24"/>
        </w:rPr>
        <w:t>service Démocratie Locale et Politique de la Ville seront réglées dans les 15 jours par l’association Auberquartiers.</w:t>
      </w:r>
    </w:p>
    <w:p w:rsidR="00D019F9" w:rsidRDefault="00D019F9" w:rsidP="00D548BC">
      <w:pPr>
        <w:numPr>
          <w:ilvl w:val="0"/>
          <w:numId w:val="2"/>
        </w:numPr>
        <w:tabs>
          <w:tab w:val="left" w:pos="567"/>
        </w:tabs>
        <w:spacing w:after="0"/>
        <w:ind w:left="567"/>
        <w:jc w:val="both"/>
        <w:rPr>
          <w:b/>
          <w:bCs/>
          <w:sz w:val="24"/>
          <w:szCs w:val="24"/>
        </w:rPr>
      </w:pPr>
      <w:r w:rsidRPr="00D019F9">
        <w:rPr>
          <w:b/>
          <w:bCs/>
          <w:sz w:val="24"/>
          <w:szCs w:val="24"/>
        </w:rPr>
        <w:t>Pour les paiements de car, la rétrocession des recettes devra être reversée à l’association</w:t>
      </w:r>
      <w:r>
        <w:rPr>
          <w:b/>
          <w:bCs/>
          <w:sz w:val="24"/>
          <w:szCs w:val="24"/>
        </w:rPr>
        <w:t xml:space="preserve"> </w:t>
      </w:r>
      <w:r w:rsidRPr="00D019F9">
        <w:rPr>
          <w:b/>
          <w:sz w:val="24"/>
          <w:szCs w:val="24"/>
        </w:rPr>
        <w:t>Auberquartiers en vue des règlements des factures.</w:t>
      </w:r>
    </w:p>
    <w:p w:rsidR="00D019F9" w:rsidRPr="00D019F9" w:rsidRDefault="00D019F9" w:rsidP="00D548BC">
      <w:pPr>
        <w:tabs>
          <w:tab w:val="left" w:pos="567"/>
        </w:tabs>
        <w:spacing w:after="0"/>
        <w:ind w:left="567"/>
        <w:jc w:val="both"/>
        <w:rPr>
          <w:sz w:val="24"/>
          <w:szCs w:val="24"/>
        </w:rPr>
      </w:pPr>
      <w:r w:rsidRPr="00D019F9">
        <w:rPr>
          <w:b/>
          <w:bCs/>
          <w:sz w:val="24"/>
          <w:szCs w:val="24"/>
        </w:rPr>
        <w:t>Les dossiers dont les bilans sont problématiques feront l’objet d’un arbitrage en Comité de</w:t>
      </w:r>
      <w:r>
        <w:rPr>
          <w:b/>
          <w:bCs/>
          <w:sz w:val="24"/>
          <w:szCs w:val="24"/>
        </w:rPr>
        <w:t xml:space="preserve"> gestion.</w:t>
      </w:r>
    </w:p>
    <w:sectPr w:rsidR="00D019F9" w:rsidRPr="00D019F9" w:rsidSect="00D019F9">
      <w:pgSz w:w="11900" w:h="16840"/>
      <w:pgMar w:top="1080" w:right="1020" w:bottom="1276" w:left="9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305650"/>
    <w:multiLevelType w:val="hybridMultilevel"/>
    <w:tmpl w:val="98EE8E5E"/>
    <w:lvl w:ilvl="0" w:tplc="B71400DA">
      <w:numFmt w:val="bullet"/>
      <w:lvlText w:val=""/>
      <w:lvlJc w:val="left"/>
      <w:pPr>
        <w:ind w:left="192" w:hanging="344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4D38B61E">
      <w:numFmt w:val="bullet"/>
      <w:lvlText w:val="•"/>
      <w:lvlJc w:val="left"/>
      <w:pPr>
        <w:ind w:left="1174" w:hanging="344"/>
      </w:pPr>
      <w:rPr>
        <w:rFonts w:hint="default"/>
        <w:lang w:val="fr-FR" w:eastAsia="en-US" w:bidi="ar-SA"/>
      </w:rPr>
    </w:lvl>
    <w:lvl w:ilvl="2" w:tplc="345AD684">
      <w:numFmt w:val="bullet"/>
      <w:lvlText w:val="•"/>
      <w:lvlJc w:val="left"/>
      <w:pPr>
        <w:ind w:left="2148" w:hanging="344"/>
      </w:pPr>
      <w:rPr>
        <w:rFonts w:hint="default"/>
        <w:lang w:val="fr-FR" w:eastAsia="en-US" w:bidi="ar-SA"/>
      </w:rPr>
    </w:lvl>
    <w:lvl w:ilvl="3" w:tplc="0CBE4134">
      <w:numFmt w:val="bullet"/>
      <w:lvlText w:val="•"/>
      <w:lvlJc w:val="left"/>
      <w:pPr>
        <w:ind w:left="3122" w:hanging="344"/>
      </w:pPr>
      <w:rPr>
        <w:rFonts w:hint="default"/>
        <w:lang w:val="fr-FR" w:eastAsia="en-US" w:bidi="ar-SA"/>
      </w:rPr>
    </w:lvl>
    <w:lvl w:ilvl="4" w:tplc="C97C204E">
      <w:numFmt w:val="bullet"/>
      <w:lvlText w:val="•"/>
      <w:lvlJc w:val="left"/>
      <w:pPr>
        <w:ind w:left="4096" w:hanging="344"/>
      </w:pPr>
      <w:rPr>
        <w:rFonts w:hint="default"/>
        <w:lang w:val="fr-FR" w:eastAsia="en-US" w:bidi="ar-SA"/>
      </w:rPr>
    </w:lvl>
    <w:lvl w:ilvl="5" w:tplc="B210B2CE">
      <w:numFmt w:val="bullet"/>
      <w:lvlText w:val="•"/>
      <w:lvlJc w:val="left"/>
      <w:pPr>
        <w:ind w:left="5070" w:hanging="344"/>
      </w:pPr>
      <w:rPr>
        <w:rFonts w:hint="default"/>
        <w:lang w:val="fr-FR" w:eastAsia="en-US" w:bidi="ar-SA"/>
      </w:rPr>
    </w:lvl>
    <w:lvl w:ilvl="6" w:tplc="2500D884">
      <w:numFmt w:val="bullet"/>
      <w:lvlText w:val="•"/>
      <w:lvlJc w:val="left"/>
      <w:pPr>
        <w:ind w:left="6044" w:hanging="344"/>
      </w:pPr>
      <w:rPr>
        <w:rFonts w:hint="default"/>
        <w:lang w:val="fr-FR" w:eastAsia="en-US" w:bidi="ar-SA"/>
      </w:rPr>
    </w:lvl>
    <w:lvl w:ilvl="7" w:tplc="C0BA235C">
      <w:numFmt w:val="bullet"/>
      <w:lvlText w:val="•"/>
      <w:lvlJc w:val="left"/>
      <w:pPr>
        <w:ind w:left="7018" w:hanging="344"/>
      </w:pPr>
      <w:rPr>
        <w:rFonts w:hint="default"/>
        <w:lang w:val="fr-FR" w:eastAsia="en-US" w:bidi="ar-SA"/>
      </w:rPr>
    </w:lvl>
    <w:lvl w:ilvl="8" w:tplc="D752ED8E">
      <w:numFmt w:val="bullet"/>
      <w:lvlText w:val="•"/>
      <w:lvlJc w:val="left"/>
      <w:pPr>
        <w:ind w:left="7992" w:hanging="344"/>
      </w:pPr>
      <w:rPr>
        <w:rFonts w:hint="default"/>
        <w:lang w:val="fr-FR" w:eastAsia="en-US" w:bidi="ar-SA"/>
      </w:rPr>
    </w:lvl>
  </w:abstractNum>
  <w:abstractNum w:abstractNumId="1">
    <w:nsid w:val="77733CE0"/>
    <w:multiLevelType w:val="hybridMultilevel"/>
    <w:tmpl w:val="4DECF0A4"/>
    <w:lvl w:ilvl="0" w:tplc="60203596">
      <w:start w:val="1"/>
      <w:numFmt w:val="decimal"/>
      <w:lvlText w:val="%1."/>
      <w:lvlJc w:val="left"/>
      <w:pPr>
        <w:ind w:left="471" w:hanging="279"/>
        <w:jc w:val="left"/>
      </w:pPr>
      <w:rPr>
        <w:rFonts w:ascii="Calibri" w:eastAsia="Calibri" w:hAnsi="Calibri" w:cs="Calibri" w:hint="default"/>
        <w:b/>
        <w:bCs/>
        <w:spacing w:val="-1"/>
        <w:w w:val="100"/>
        <w:sz w:val="28"/>
        <w:szCs w:val="28"/>
        <w:lang w:val="fr-FR" w:eastAsia="en-US" w:bidi="ar-SA"/>
      </w:rPr>
    </w:lvl>
    <w:lvl w:ilvl="1" w:tplc="04C8BD68">
      <w:numFmt w:val="bullet"/>
      <w:lvlText w:val="•"/>
      <w:lvlJc w:val="left"/>
      <w:pPr>
        <w:ind w:left="1426" w:hanging="279"/>
      </w:pPr>
      <w:rPr>
        <w:rFonts w:hint="default"/>
        <w:lang w:val="fr-FR" w:eastAsia="en-US" w:bidi="ar-SA"/>
      </w:rPr>
    </w:lvl>
    <w:lvl w:ilvl="2" w:tplc="EF261A38">
      <w:numFmt w:val="bullet"/>
      <w:lvlText w:val="•"/>
      <w:lvlJc w:val="left"/>
      <w:pPr>
        <w:ind w:left="2372" w:hanging="279"/>
      </w:pPr>
      <w:rPr>
        <w:rFonts w:hint="default"/>
        <w:lang w:val="fr-FR" w:eastAsia="en-US" w:bidi="ar-SA"/>
      </w:rPr>
    </w:lvl>
    <w:lvl w:ilvl="3" w:tplc="14A679F0">
      <w:numFmt w:val="bullet"/>
      <w:lvlText w:val="•"/>
      <w:lvlJc w:val="left"/>
      <w:pPr>
        <w:ind w:left="3318" w:hanging="279"/>
      </w:pPr>
      <w:rPr>
        <w:rFonts w:hint="default"/>
        <w:lang w:val="fr-FR" w:eastAsia="en-US" w:bidi="ar-SA"/>
      </w:rPr>
    </w:lvl>
    <w:lvl w:ilvl="4" w:tplc="50F6759C">
      <w:numFmt w:val="bullet"/>
      <w:lvlText w:val="•"/>
      <w:lvlJc w:val="left"/>
      <w:pPr>
        <w:ind w:left="4264" w:hanging="279"/>
      </w:pPr>
      <w:rPr>
        <w:rFonts w:hint="default"/>
        <w:lang w:val="fr-FR" w:eastAsia="en-US" w:bidi="ar-SA"/>
      </w:rPr>
    </w:lvl>
    <w:lvl w:ilvl="5" w:tplc="84A0917E">
      <w:numFmt w:val="bullet"/>
      <w:lvlText w:val="•"/>
      <w:lvlJc w:val="left"/>
      <w:pPr>
        <w:ind w:left="5210" w:hanging="279"/>
      </w:pPr>
      <w:rPr>
        <w:rFonts w:hint="default"/>
        <w:lang w:val="fr-FR" w:eastAsia="en-US" w:bidi="ar-SA"/>
      </w:rPr>
    </w:lvl>
    <w:lvl w:ilvl="6" w:tplc="2D5ED48E">
      <w:numFmt w:val="bullet"/>
      <w:lvlText w:val="•"/>
      <w:lvlJc w:val="left"/>
      <w:pPr>
        <w:ind w:left="6156" w:hanging="279"/>
      </w:pPr>
      <w:rPr>
        <w:rFonts w:hint="default"/>
        <w:lang w:val="fr-FR" w:eastAsia="en-US" w:bidi="ar-SA"/>
      </w:rPr>
    </w:lvl>
    <w:lvl w:ilvl="7" w:tplc="FD4AC080">
      <w:numFmt w:val="bullet"/>
      <w:lvlText w:val="•"/>
      <w:lvlJc w:val="left"/>
      <w:pPr>
        <w:ind w:left="7102" w:hanging="279"/>
      </w:pPr>
      <w:rPr>
        <w:rFonts w:hint="default"/>
        <w:lang w:val="fr-FR" w:eastAsia="en-US" w:bidi="ar-SA"/>
      </w:rPr>
    </w:lvl>
    <w:lvl w:ilvl="8" w:tplc="99967C0C">
      <w:numFmt w:val="bullet"/>
      <w:lvlText w:val="•"/>
      <w:lvlJc w:val="left"/>
      <w:pPr>
        <w:ind w:left="8048" w:hanging="279"/>
      </w:pPr>
      <w:rPr>
        <w:rFonts w:hint="default"/>
        <w:lang w:val="fr-FR" w:eastAsia="en-US" w:bidi="ar-SA"/>
      </w:rPr>
    </w:lvl>
  </w:abstractNum>
  <w:abstractNum w:abstractNumId="2">
    <w:nsid w:val="79307F7E"/>
    <w:multiLevelType w:val="hybridMultilevel"/>
    <w:tmpl w:val="D39222C8"/>
    <w:lvl w:ilvl="0" w:tplc="B71400DA">
      <w:numFmt w:val="bullet"/>
      <w:lvlText w:val=""/>
      <w:lvlJc w:val="left"/>
      <w:pPr>
        <w:ind w:left="552" w:hanging="360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1" w:tplc="1AEAE820">
      <w:numFmt w:val="bullet"/>
      <w:lvlText w:val="•"/>
      <w:lvlJc w:val="left"/>
      <w:pPr>
        <w:ind w:left="1498" w:hanging="360"/>
      </w:pPr>
      <w:rPr>
        <w:rFonts w:hint="default"/>
        <w:lang w:val="fr-FR" w:eastAsia="en-US" w:bidi="ar-SA"/>
      </w:rPr>
    </w:lvl>
    <w:lvl w:ilvl="2" w:tplc="BA167AEA">
      <w:numFmt w:val="bullet"/>
      <w:lvlText w:val="•"/>
      <w:lvlJc w:val="left"/>
      <w:pPr>
        <w:ind w:left="2436" w:hanging="360"/>
      </w:pPr>
      <w:rPr>
        <w:rFonts w:hint="default"/>
        <w:lang w:val="fr-FR" w:eastAsia="en-US" w:bidi="ar-SA"/>
      </w:rPr>
    </w:lvl>
    <w:lvl w:ilvl="3" w:tplc="F6EAFF7E">
      <w:numFmt w:val="bullet"/>
      <w:lvlText w:val="•"/>
      <w:lvlJc w:val="left"/>
      <w:pPr>
        <w:ind w:left="3374" w:hanging="360"/>
      </w:pPr>
      <w:rPr>
        <w:rFonts w:hint="default"/>
        <w:lang w:val="fr-FR" w:eastAsia="en-US" w:bidi="ar-SA"/>
      </w:rPr>
    </w:lvl>
    <w:lvl w:ilvl="4" w:tplc="3BAA65E8">
      <w:numFmt w:val="bullet"/>
      <w:lvlText w:val="•"/>
      <w:lvlJc w:val="left"/>
      <w:pPr>
        <w:ind w:left="4312" w:hanging="360"/>
      </w:pPr>
      <w:rPr>
        <w:rFonts w:hint="default"/>
        <w:lang w:val="fr-FR" w:eastAsia="en-US" w:bidi="ar-SA"/>
      </w:rPr>
    </w:lvl>
    <w:lvl w:ilvl="5" w:tplc="E38AC67C">
      <w:numFmt w:val="bullet"/>
      <w:lvlText w:val="•"/>
      <w:lvlJc w:val="left"/>
      <w:pPr>
        <w:ind w:left="5250" w:hanging="360"/>
      </w:pPr>
      <w:rPr>
        <w:rFonts w:hint="default"/>
        <w:lang w:val="fr-FR" w:eastAsia="en-US" w:bidi="ar-SA"/>
      </w:rPr>
    </w:lvl>
    <w:lvl w:ilvl="6" w:tplc="357E73E6">
      <w:numFmt w:val="bullet"/>
      <w:lvlText w:val="•"/>
      <w:lvlJc w:val="left"/>
      <w:pPr>
        <w:ind w:left="6188" w:hanging="360"/>
      </w:pPr>
      <w:rPr>
        <w:rFonts w:hint="default"/>
        <w:lang w:val="fr-FR" w:eastAsia="en-US" w:bidi="ar-SA"/>
      </w:rPr>
    </w:lvl>
    <w:lvl w:ilvl="7" w:tplc="9FE00136">
      <w:numFmt w:val="bullet"/>
      <w:lvlText w:val="•"/>
      <w:lvlJc w:val="left"/>
      <w:pPr>
        <w:ind w:left="7126" w:hanging="360"/>
      </w:pPr>
      <w:rPr>
        <w:rFonts w:hint="default"/>
        <w:lang w:val="fr-FR" w:eastAsia="en-US" w:bidi="ar-SA"/>
      </w:rPr>
    </w:lvl>
    <w:lvl w:ilvl="8" w:tplc="F656CC7C">
      <w:numFmt w:val="bullet"/>
      <w:lvlText w:val="•"/>
      <w:lvlJc w:val="left"/>
      <w:pPr>
        <w:ind w:left="8064" w:hanging="360"/>
      </w:pPr>
      <w:rPr>
        <w:rFonts w:hint="default"/>
        <w:lang w:val="fr-FR" w:eastAsia="en-US" w:bidi="ar-S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19F9"/>
    <w:rsid w:val="00BF052C"/>
    <w:rsid w:val="00D019F9"/>
    <w:rsid w:val="00D548BC"/>
    <w:rsid w:val="00F9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9F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D019F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725</Words>
  <Characters>3988</Characters>
  <Application>Microsoft Office Word</Application>
  <DocSecurity>0</DocSecurity>
  <Lines>33</Lines>
  <Paragraphs>9</Paragraphs>
  <ScaleCrop>false</ScaleCrop>
  <Company>Hewlett-Packard Company</Company>
  <LinksUpToDate>false</LinksUpToDate>
  <CharactersWithSpaces>4704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Juliette Martin</dc:creator>
  <cp:lastModifiedBy>Juliette Martin</cp:lastModifiedBy>
  <cp:revision>2</cp:revision>
  <dcterms:created xsi:type="dcterms:W3CDTF">2021-07-09T10:33:00Z</dcterms:created>
  <dcterms:modified xsi:type="dcterms:W3CDTF">2021-07-09T10:43:00Z</dcterms:modified>
</cp:coreProperties>
</file>